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080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5556"/>
      </w:tblGrid>
      <w:tr w:rsidR="00C677D2" w:rsidTr="00DA37C0">
        <w:tc>
          <w:tcPr>
            <w:tcW w:w="5246" w:type="dxa"/>
          </w:tcPr>
          <w:p w:rsidR="00C677D2" w:rsidRDefault="00C677D2" w:rsidP="004E3479">
            <w:pPr>
              <w:rPr>
                <w:szCs w:val="28"/>
                <w:shd w:val="clear" w:color="auto" w:fill="FFFFFF"/>
              </w:rPr>
            </w:pPr>
            <w:bookmarkStart w:id="0" w:name="_GoBack"/>
            <w:bookmarkEnd w:id="0"/>
            <w:r w:rsidRPr="005D7A4A">
              <w:rPr>
                <w:noProof/>
                <w:shd w:val="clear" w:color="auto" w:fill="FFFFFF"/>
              </w:rPr>
              <w:drawing>
                <wp:inline distT="0" distB="0" distL="0" distR="0">
                  <wp:extent cx="3060538" cy="1266825"/>
                  <wp:effectExtent l="19050" t="0" r="6512"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87101" cy="1277820"/>
                          </a:xfrm>
                          <a:prstGeom prst="rect">
                            <a:avLst/>
                          </a:prstGeom>
                          <a:noFill/>
                        </pic:spPr>
                      </pic:pic>
                    </a:graphicData>
                  </a:graphic>
                </wp:inline>
              </w:drawing>
            </w:r>
          </w:p>
        </w:tc>
        <w:tc>
          <w:tcPr>
            <w:tcW w:w="5556" w:type="dxa"/>
          </w:tcPr>
          <w:p w:rsidR="004E3479" w:rsidRDefault="004E3479" w:rsidP="004E3479">
            <w:pPr>
              <w:autoSpaceDE w:val="0"/>
              <w:autoSpaceDN w:val="0"/>
              <w:jc w:val="center"/>
              <w:rPr>
                <w:rFonts w:ascii="Times New Roman" w:hAnsi="Times New Roman"/>
                <w:b/>
                <w:color w:val="000000"/>
                <w:sz w:val="32"/>
                <w:szCs w:val="32"/>
              </w:rPr>
            </w:pPr>
          </w:p>
          <w:p w:rsidR="004E3479" w:rsidRDefault="004E3479" w:rsidP="004E3479">
            <w:pPr>
              <w:autoSpaceDE w:val="0"/>
              <w:autoSpaceDN w:val="0"/>
              <w:rPr>
                <w:rFonts w:ascii="Times New Roman" w:hAnsi="Times New Roman"/>
                <w:b/>
                <w:color w:val="000000"/>
                <w:sz w:val="32"/>
                <w:szCs w:val="32"/>
              </w:rPr>
            </w:pPr>
          </w:p>
          <w:p w:rsidR="00C677D2" w:rsidRPr="004E3479" w:rsidRDefault="004E3479" w:rsidP="004E3479">
            <w:pPr>
              <w:autoSpaceDE w:val="0"/>
              <w:autoSpaceDN w:val="0"/>
              <w:rPr>
                <w:rFonts w:ascii="Times New Roman" w:hAnsi="Times New Roman"/>
                <w:b/>
                <w:color w:val="000000"/>
                <w:sz w:val="32"/>
                <w:szCs w:val="32"/>
              </w:rPr>
            </w:pPr>
            <w:r>
              <w:rPr>
                <w:rFonts w:ascii="Times New Roman" w:hAnsi="Times New Roman"/>
                <w:b/>
                <w:color w:val="000000"/>
                <w:sz w:val="32"/>
                <w:szCs w:val="32"/>
              </w:rPr>
              <w:t xml:space="preserve">Подробнее о </w:t>
            </w:r>
            <w:r w:rsidR="00C677D2" w:rsidRPr="004E3479">
              <w:rPr>
                <w:rFonts w:ascii="Times New Roman" w:hAnsi="Times New Roman"/>
                <w:b/>
                <w:color w:val="000000"/>
                <w:sz w:val="32"/>
                <w:szCs w:val="32"/>
              </w:rPr>
              <w:t>«лесн</w:t>
            </w:r>
            <w:r>
              <w:rPr>
                <w:rFonts w:ascii="Times New Roman" w:hAnsi="Times New Roman"/>
                <w:b/>
                <w:color w:val="000000"/>
                <w:sz w:val="32"/>
                <w:szCs w:val="32"/>
              </w:rPr>
              <w:t>ой</w:t>
            </w:r>
            <w:r w:rsidR="00C677D2" w:rsidRPr="004E3479">
              <w:rPr>
                <w:rFonts w:ascii="Times New Roman" w:hAnsi="Times New Roman"/>
                <w:b/>
                <w:color w:val="000000"/>
                <w:sz w:val="32"/>
                <w:szCs w:val="32"/>
              </w:rPr>
              <w:t xml:space="preserve"> амнисти</w:t>
            </w:r>
            <w:r>
              <w:rPr>
                <w:rFonts w:ascii="Times New Roman" w:hAnsi="Times New Roman"/>
                <w:b/>
                <w:color w:val="000000"/>
                <w:sz w:val="32"/>
                <w:szCs w:val="32"/>
              </w:rPr>
              <w:t>и</w:t>
            </w:r>
            <w:r w:rsidR="00C677D2" w:rsidRPr="004E3479">
              <w:rPr>
                <w:rFonts w:ascii="Times New Roman" w:hAnsi="Times New Roman"/>
                <w:b/>
                <w:color w:val="000000"/>
                <w:sz w:val="32"/>
                <w:szCs w:val="32"/>
              </w:rPr>
              <w:t>».</w:t>
            </w:r>
          </w:p>
          <w:p w:rsidR="00C677D2" w:rsidRDefault="00C677D2" w:rsidP="004E3479">
            <w:pPr>
              <w:jc w:val="center"/>
              <w:rPr>
                <w:szCs w:val="28"/>
                <w:shd w:val="clear" w:color="auto" w:fill="FFFFFF"/>
              </w:rPr>
            </w:pPr>
          </w:p>
        </w:tc>
      </w:tr>
    </w:tbl>
    <w:p w:rsidR="004E3479" w:rsidRPr="00EC6C2F" w:rsidRDefault="004E3479" w:rsidP="004E3479">
      <w:pPr>
        <w:shd w:val="clear" w:color="auto" w:fill="FFFFFF"/>
        <w:spacing w:after="0" w:line="240" w:lineRule="auto"/>
        <w:ind w:firstLine="540"/>
        <w:jc w:val="both"/>
        <w:rPr>
          <w:rFonts w:ascii="Times New Roman" w:eastAsia="Times New Roman" w:hAnsi="Times New Roman"/>
          <w:i/>
          <w:color w:val="000000"/>
          <w:sz w:val="28"/>
          <w:szCs w:val="28"/>
        </w:rPr>
      </w:pPr>
      <w:r w:rsidRPr="00EC6C2F">
        <w:rPr>
          <w:rFonts w:ascii="Times New Roman" w:eastAsia="Times New Roman" w:hAnsi="Times New Roman"/>
          <w:i/>
          <w:color w:val="000000"/>
          <w:sz w:val="28"/>
          <w:szCs w:val="28"/>
        </w:rPr>
        <w:t>Управление Росреестра по Курской области информирует.</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eastAsia="Times New Roman" w:hAnsi="Times New Roman"/>
          <w:color w:val="000000"/>
          <w:sz w:val="27"/>
          <w:szCs w:val="27"/>
        </w:rPr>
        <w:t>Федеральный закон от 29.07.2017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иначе именуемый как «лесная амнистия» п</w:t>
      </w:r>
      <w:r w:rsidRPr="004E3479">
        <w:rPr>
          <w:rFonts w:ascii="Times New Roman" w:hAnsi="Times New Roman"/>
          <w:color w:val="000000"/>
          <w:sz w:val="27"/>
          <w:szCs w:val="27"/>
        </w:rPr>
        <w:t xml:space="preserve">редусматривает, что в случае, если в соответствии со сведениями, содержащимися в государственном лесном реестре (ГЛР), лесном плане субъекта РФ, земельный участок относится к категории земель лесного фонда, а в соответствии со сведениями Единого государственного реестра недвижимости (ЕГРН), правоустанавливающими или </w:t>
      </w:r>
      <w:proofErr w:type="spellStart"/>
      <w:r w:rsidRPr="004E3479">
        <w:rPr>
          <w:rFonts w:ascii="Times New Roman" w:hAnsi="Times New Roman"/>
          <w:color w:val="000000"/>
          <w:sz w:val="27"/>
          <w:szCs w:val="27"/>
        </w:rPr>
        <w:t>правоудостоверяющими</w:t>
      </w:r>
      <w:proofErr w:type="spellEnd"/>
      <w:r w:rsidRPr="004E3479">
        <w:rPr>
          <w:rFonts w:ascii="Times New Roman" w:hAnsi="Times New Roman"/>
          <w:color w:val="000000"/>
          <w:sz w:val="27"/>
          <w:szCs w:val="27"/>
        </w:rPr>
        <w:t xml:space="preserve">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ЕГРН, либо в соответствии со сведениями, указанными в правоустанавливающих или </w:t>
      </w:r>
      <w:proofErr w:type="spellStart"/>
      <w:r w:rsidRPr="004E3479">
        <w:rPr>
          <w:rFonts w:ascii="Times New Roman" w:hAnsi="Times New Roman"/>
          <w:color w:val="000000"/>
          <w:sz w:val="27"/>
          <w:szCs w:val="27"/>
        </w:rPr>
        <w:t>правоудостоверяющих</w:t>
      </w:r>
      <w:proofErr w:type="spellEnd"/>
      <w:r w:rsidRPr="004E3479">
        <w:rPr>
          <w:rFonts w:ascii="Times New Roman" w:hAnsi="Times New Roman"/>
          <w:color w:val="000000"/>
          <w:sz w:val="27"/>
          <w:szCs w:val="27"/>
        </w:rPr>
        <w:t xml:space="preserve"> документах на земельные участки, при отсутствии таких сведений в ЕГРН.</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Норма о приоритете записи ЕГРН при определении принадлежности земельного участка к определенной категории земель применяется в случае, если права правообладателя или предыдущих правообладателей на земельный участок возникли до 1 января 2016 года.</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Данное правило не распространяется на земельные участки:</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расположенные в границах особо охраняемых природных территорий, территорий объектов культурного наследия;</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xml:space="preserve">- земельные участки, относящиеся к землям с/х назначения, оборот которых регулируется Федеральным </w:t>
      </w:r>
      <w:r w:rsidRPr="004E3479">
        <w:rPr>
          <w:rFonts w:ascii="Times New Roman" w:hAnsi="Times New Roman"/>
          <w:sz w:val="27"/>
          <w:szCs w:val="27"/>
        </w:rPr>
        <w:t>законом</w:t>
      </w:r>
      <w:r w:rsidRPr="004E3479">
        <w:rPr>
          <w:rFonts w:ascii="Times New Roman" w:hAnsi="Times New Roman"/>
          <w:color w:val="000000"/>
          <w:sz w:val="27"/>
          <w:szCs w:val="27"/>
        </w:rPr>
        <w:t xml:space="preserve"> от 24.07.2002 № 101-ФЗ «Об обороте земель сельскохозяйственного назначения», при наличии у уполномоченного органа сведений о результатах проведения государственного земельного надзора, подтверждающих факты неиспользования таких земельных участков по целевому назначению или их использования с нарушением законодательства РФ.</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Также предусматривается возможность образования земельного участка без согласия землепользователей, землевладельцев, арендаторов исходных земельных участков в случаях образования из состава земель лесного фонда земельных участков в связи с установлением границ поселков, ранее созданных в целях освоения лесов (лесных поселков), и военных городков.</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Одновременно с этим вводятся дополнительные механизмы защиты лесов, в частности:</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lastRenderedPageBreak/>
        <w:t>- обязанность Рослесхоза обратиться с исковым заявлением в суд об оспаривании зарегистрированного права на земельный участок в течение 3 месяцев со дня обнаружения реестровой ошибки;</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приведение субъектами РФ до 1 января 2023 года сведений государственного лесного реестра в соответствие со сведениями ЕГРН, в том числе в части сведений об особо охраняемых природных территориях, территориях объектов культурного наследия, расположенных на землях лесного фонда, о границах таких территорий и об ограничениях по использованию лесных участков, расположенных в указанных границах.</w:t>
      </w:r>
    </w:p>
    <w:p w:rsidR="00C677D2" w:rsidRPr="004E3479" w:rsidRDefault="00C677D2" w:rsidP="004E3479">
      <w:pPr>
        <w:autoSpaceDE w:val="0"/>
        <w:autoSpaceDN w:val="0"/>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xml:space="preserve">Принятие Федерального </w:t>
      </w:r>
      <w:r w:rsidRPr="004E3479">
        <w:rPr>
          <w:rFonts w:ascii="Times New Roman" w:hAnsi="Times New Roman"/>
          <w:sz w:val="27"/>
          <w:szCs w:val="27"/>
        </w:rPr>
        <w:t>закона</w:t>
      </w:r>
      <w:r w:rsidRPr="004E3479">
        <w:rPr>
          <w:rFonts w:ascii="Times New Roman" w:hAnsi="Times New Roman"/>
          <w:color w:val="000000"/>
          <w:sz w:val="27"/>
          <w:szCs w:val="27"/>
        </w:rPr>
        <w:t xml:space="preserve"> № 280-ФЗ направлено на устранение взаимоисключающего характера сведений ГЛР и ЕГРН путем установления в предусмотренных законом случаях приоритета сведений ЕГРН над сведениями ГЛР.</w:t>
      </w:r>
    </w:p>
    <w:p w:rsidR="00C677D2" w:rsidRDefault="00C677D2" w:rsidP="004E3479">
      <w:pPr>
        <w:spacing w:after="0" w:line="240" w:lineRule="auto"/>
        <w:ind w:firstLine="709"/>
        <w:jc w:val="both"/>
        <w:rPr>
          <w:rFonts w:ascii="Times New Roman" w:hAnsi="Times New Roman"/>
          <w:color w:val="000000"/>
          <w:sz w:val="27"/>
          <w:szCs w:val="27"/>
        </w:rPr>
      </w:pPr>
      <w:r w:rsidRPr="004E3479">
        <w:rPr>
          <w:rFonts w:ascii="Times New Roman" w:hAnsi="Times New Roman"/>
          <w:color w:val="000000"/>
          <w:sz w:val="27"/>
          <w:szCs w:val="27"/>
        </w:rPr>
        <w:t xml:space="preserve">В силу установленных Федеральным </w:t>
      </w:r>
      <w:r w:rsidRPr="004E3479">
        <w:rPr>
          <w:rFonts w:ascii="Times New Roman" w:hAnsi="Times New Roman"/>
          <w:sz w:val="27"/>
          <w:szCs w:val="27"/>
        </w:rPr>
        <w:t>законом</w:t>
      </w:r>
      <w:r w:rsidRPr="004E3479">
        <w:rPr>
          <w:rFonts w:ascii="Times New Roman" w:hAnsi="Times New Roman"/>
          <w:color w:val="000000"/>
          <w:sz w:val="27"/>
          <w:szCs w:val="27"/>
        </w:rPr>
        <w:t xml:space="preserve"> № 280-ФЗ правил сведения ГЛР, не соответствующие сведениям ЕГРН, не являются препятствием территориальному планированию, градостроительному зонированию, кадастровому учету объектов недвижимости и регистрации прав на них, переводу земельного участка из одной категории в другую (отнесению земельного участка к определенной категории).</w:t>
      </w:r>
    </w:p>
    <w:p w:rsidR="004E3479" w:rsidRDefault="004E3479" w:rsidP="004E3479">
      <w:pPr>
        <w:spacing w:after="0" w:line="240" w:lineRule="auto"/>
        <w:ind w:firstLine="709"/>
        <w:jc w:val="both"/>
        <w:rPr>
          <w:rFonts w:ascii="Times New Roman" w:hAnsi="Times New Roman"/>
          <w:color w:val="000000"/>
          <w:sz w:val="27"/>
          <w:szCs w:val="27"/>
        </w:rPr>
      </w:pPr>
    </w:p>
    <w:p w:rsidR="004E3479" w:rsidRDefault="004E3479" w:rsidP="004E3479">
      <w:pPr>
        <w:spacing w:after="0" w:line="240" w:lineRule="auto"/>
        <w:ind w:firstLine="709"/>
        <w:jc w:val="both"/>
        <w:rPr>
          <w:rFonts w:ascii="Times New Roman" w:hAnsi="Times New Roman"/>
          <w:color w:val="000000"/>
          <w:sz w:val="27"/>
          <w:szCs w:val="27"/>
        </w:rPr>
      </w:pPr>
    </w:p>
    <w:p w:rsidR="004E3479" w:rsidRPr="00432FA7" w:rsidRDefault="004E3479" w:rsidP="004E3479">
      <w:pPr>
        <w:spacing w:after="0" w:line="240" w:lineRule="auto"/>
        <w:jc w:val="right"/>
        <w:rPr>
          <w:rFonts w:ascii="Times New Roman" w:hAnsi="Times New Roman"/>
          <w:sz w:val="27"/>
          <w:szCs w:val="27"/>
        </w:rPr>
      </w:pPr>
      <w:r w:rsidRPr="00432FA7">
        <w:rPr>
          <w:rFonts w:ascii="Times New Roman" w:hAnsi="Times New Roman"/>
          <w:sz w:val="27"/>
          <w:szCs w:val="27"/>
        </w:rPr>
        <w:t xml:space="preserve">Ведущий специалист-эксперт </w:t>
      </w:r>
    </w:p>
    <w:p w:rsidR="004E3479" w:rsidRPr="00432FA7" w:rsidRDefault="004E3479" w:rsidP="004E3479">
      <w:pPr>
        <w:spacing w:after="0" w:line="240" w:lineRule="auto"/>
        <w:jc w:val="right"/>
        <w:rPr>
          <w:rFonts w:ascii="Times New Roman" w:hAnsi="Times New Roman"/>
          <w:sz w:val="27"/>
          <w:szCs w:val="27"/>
        </w:rPr>
      </w:pPr>
      <w:r w:rsidRPr="00432FA7">
        <w:rPr>
          <w:rFonts w:ascii="Times New Roman" w:hAnsi="Times New Roman"/>
          <w:sz w:val="27"/>
          <w:szCs w:val="27"/>
        </w:rPr>
        <w:t xml:space="preserve">отдела организации, мониторинга и контроля </w:t>
      </w:r>
    </w:p>
    <w:p w:rsidR="004E3479" w:rsidRPr="00432FA7" w:rsidRDefault="004E3479" w:rsidP="004E3479">
      <w:pPr>
        <w:spacing w:after="0" w:line="240" w:lineRule="auto"/>
        <w:jc w:val="right"/>
        <w:rPr>
          <w:rFonts w:ascii="Times New Roman" w:hAnsi="Times New Roman"/>
          <w:sz w:val="27"/>
          <w:szCs w:val="27"/>
        </w:rPr>
      </w:pPr>
      <w:r w:rsidRPr="00432FA7">
        <w:rPr>
          <w:rFonts w:ascii="Times New Roman" w:hAnsi="Times New Roman"/>
          <w:sz w:val="27"/>
          <w:szCs w:val="27"/>
        </w:rPr>
        <w:t>Управления Росреестра по Курской области</w:t>
      </w:r>
    </w:p>
    <w:p w:rsidR="004E3479" w:rsidRPr="00432FA7" w:rsidRDefault="004E3479" w:rsidP="004E3479">
      <w:pPr>
        <w:spacing w:after="0" w:line="240" w:lineRule="auto"/>
        <w:ind w:left="-851" w:right="-1"/>
        <w:jc w:val="right"/>
        <w:rPr>
          <w:rFonts w:ascii="Times New Roman" w:hAnsi="Times New Roman"/>
          <w:sz w:val="27"/>
          <w:szCs w:val="27"/>
        </w:rPr>
      </w:pPr>
      <w:r w:rsidRPr="00432FA7">
        <w:rPr>
          <w:rStyle w:val="fontstyle21"/>
          <w:rFonts w:ascii="Times New Roman" w:hAnsi="Times New Roman"/>
          <w:sz w:val="27"/>
          <w:szCs w:val="27"/>
        </w:rPr>
        <w:t>Азарова Юлия Валерьевна</w:t>
      </w:r>
    </w:p>
    <w:p w:rsidR="004E3479" w:rsidRPr="004E3479" w:rsidRDefault="004E3479" w:rsidP="004E3479">
      <w:pPr>
        <w:spacing w:after="0" w:line="240" w:lineRule="auto"/>
        <w:ind w:firstLine="709"/>
        <w:jc w:val="both"/>
        <w:rPr>
          <w:sz w:val="27"/>
          <w:szCs w:val="27"/>
        </w:rPr>
      </w:pPr>
    </w:p>
    <w:p w:rsidR="002567C5" w:rsidRDefault="007E0D07" w:rsidP="004E3479">
      <w:pPr>
        <w:spacing w:line="240" w:lineRule="auto"/>
      </w:pPr>
    </w:p>
    <w:sectPr w:rsidR="002567C5" w:rsidSect="004E3479">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D2"/>
    <w:rsid w:val="000303F5"/>
    <w:rsid w:val="003A1195"/>
    <w:rsid w:val="003B707A"/>
    <w:rsid w:val="003C3957"/>
    <w:rsid w:val="004D2410"/>
    <w:rsid w:val="004E3479"/>
    <w:rsid w:val="00594E3E"/>
    <w:rsid w:val="00651CD1"/>
    <w:rsid w:val="007E0D07"/>
    <w:rsid w:val="00830737"/>
    <w:rsid w:val="008563A8"/>
    <w:rsid w:val="00A64F87"/>
    <w:rsid w:val="00B747F7"/>
    <w:rsid w:val="00BD7EA5"/>
    <w:rsid w:val="00C677D2"/>
    <w:rsid w:val="00D94F2D"/>
    <w:rsid w:val="00DB4A58"/>
    <w:rsid w:val="00F7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37615-CB8D-44B5-961E-5FFACA7D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7D2"/>
    <w:rPr>
      <w:rFonts w:ascii="Calibri" w:hAnsi="Calibri" w:cs="Times New Roman"/>
      <w:lang w:eastAsia="ru-RU"/>
    </w:rPr>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asciiTheme="minorHAnsi" w:eastAsiaTheme="minorEastAsia" w:hAnsiTheme="minorHAnsi" w:cstheme="minorBidi"/>
    </w:rPr>
  </w:style>
  <w:style w:type="character" w:styleId="a6">
    <w:name w:val="Hyperlink"/>
    <w:basedOn w:val="a0"/>
    <w:uiPriority w:val="99"/>
    <w:semiHidden/>
    <w:unhideWhenUsed/>
    <w:rsid w:val="00C677D2"/>
    <w:rPr>
      <w:color w:val="0000FF"/>
      <w:u w:val="single"/>
    </w:rPr>
  </w:style>
  <w:style w:type="table" w:styleId="a7">
    <w:name w:val="Table Grid"/>
    <w:basedOn w:val="a1"/>
    <w:uiPriority w:val="59"/>
    <w:rsid w:val="00C6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77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77D2"/>
    <w:rPr>
      <w:rFonts w:ascii="Tahoma" w:hAnsi="Tahoma" w:cs="Tahoma"/>
      <w:sz w:val="16"/>
      <w:szCs w:val="16"/>
      <w:lang w:eastAsia="ru-RU"/>
    </w:rPr>
  </w:style>
  <w:style w:type="character" w:customStyle="1" w:styleId="fontstyle21">
    <w:name w:val="fontstyle21"/>
    <w:basedOn w:val="a0"/>
    <w:rsid w:val="004E3479"/>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8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Азарова Ю В</dc:creator>
  <cp:keywords/>
  <dc:description/>
  <cp:lastModifiedBy>1</cp:lastModifiedBy>
  <cp:revision>2</cp:revision>
  <cp:lastPrinted>2018-03-27T12:15:00Z</cp:lastPrinted>
  <dcterms:created xsi:type="dcterms:W3CDTF">2018-03-28T08:39:00Z</dcterms:created>
  <dcterms:modified xsi:type="dcterms:W3CDTF">2018-03-28T08:39:00Z</dcterms:modified>
</cp:coreProperties>
</file>